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6" w:type="pct"/>
        <w:tblInd w:w="-176" w:type="dxa"/>
        <w:tblLook w:val="04A0"/>
      </w:tblPr>
      <w:tblGrid>
        <w:gridCol w:w="5339"/>
        <w:gridCol w:w="5258"/>
      </w:tblGrid>
      <w:tr w:rsidR="00F81EB3" w:rsidRPr="00F85D5A" w:rsidTr="00352A92">
        <w:tc>
          <w:tcPr>
            <w:tcW w:w="2519" w:type="pct"/>
            <w:shd w:val="clear" w:color="auto" w:fill="auto"/>
          </w:tcPr>
          <w:p w:rsidR="00F81EB3" w:rsidRPr="00F85D5A" w:rsidRDefault="00F81EB3" w:rsidP="00352A9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«Қоғамдық және экономикалық пәндер» </w:t>
            </w:r>
          </w:p>
          <w:p w:rsidR="00F81EB3" w:rsidRPr="00F85D5A" w:rsidRDefault="00F81EB3" w:rsidP="00352A9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ӘЦК  қаралып,мақұлданды</w:t>
            </w:r>
          </w:p>
          <w:p w:rsidR="00F81EB3" w:rsidRPr="00F85D5A" w:rsidRDefault="00F81EB3" w:rsidP="00352A9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Рассмотрен и одобрен ЦМК  «ОиЭД»  </w:t>
            </w:r>
          </w:p>
          <w:p w:rsidR="00F81EB3" w:rsidRPr="00F85D5A" w:rsidRDefault="00F81EB3" w:rsidP="00352A9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Хаттама/протокол № 10  </w:t>
            </w:r>
            <w:r w:rsidRPr="00F85D5A">
              <w:rPr>
                <w:rFonts w:ascii="Times New Roman" w:hAnsi="Times New Roman"/>
                <w:sz w:val="24"/>
                <w:szCs w:val="24"/>
                <w:lang w:bidi="en-US"/>
              </w:rPr>
              <w:t>«06»</w:t>
            </w: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05.2020 ж/г        </w:t>
            </w:r>
          </w:p>
          <w:p w:rsidR="00F81EB3" w:rsidRPr="00F85D5A" w:rsidRDefault="00F81EB3" w:rsidP="00352A9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>ӘЦК төрағасы</w:t>
            </w:r>
            <w:r w:rsidRPr="00F85D5A">
              <w:rPr>
                <w:rFonts w:ascii="Times New Roman" w:hAnsi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Председатель ЦМК ____________Исабаева Ж.Т </w:t>
            </w:r>
          </w:p>
          <w:p w:rsidR="00F81EB3" w:rsidRPr="00F85D5A" w:rsidRDefault="00F81EB3" w:rsidP="00352A92">
            <w:pPr>
              <w:spacing w:after="0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2481" w:type="pct"/>
            <w:shd w:val="clear" w:color="auto" w:fill="auto"/>
          </w:tcPr>
          <w:p w:rsidR="00F81EB3" w:rsidRPr="00F85D5A" w:rsidRDefault="00F81EB3" w:rsidP="00352A92">
            <w:pPr>
              <w:spacing w:after="0" w:line="256" w:lineRule="auto"/>
              <w:ind w:right="797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Бекітемін / Утверждаю  </w:t>
            </w:r>
          </w:p>
          <w:p w:rsidR="00F81EB3" w:rsidRPr="00F85D5A" w:rsidRDefault="00F81EB3" w:rsidP="00352A92">
            <w:pPr>
              <w:spacing w:after="0" w:line="256" w:lineRule="auto"/>
              <w:ind w:right="513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Директордың ОЖ жөніндегі орынбасары/     </w:t>
            </w:r>
          </w:p>
          <w:p w:rsidR="00F81EB3" w:rsidRPr="00F85D5A" w:rsidRDefault="00F81EB3" w:rsidP="00352A92">
            <w:pPr>
              <w:spacing w:after="0" w:line="256" w:lineRule="auto"/>
              <w:ind w:right="655"/>
              <w:jc w:val="center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                               Зам. директора по УР</w:t>
            </w:r>
          </w:p>
          <w:p w:rsidR="00F81EB3" w:rsidRPr="00F85D5A" w:rsidRDefault="00F81EB3" w:rsidP="00352A92">
            <w:pPr>
              <w:spacing w:after="0" w:line="256" w:lineRule="auto"/>
              <w:ind w:right="655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>_____________    Передерий Е.А.</w:t>
            </w:r>
          </w:p>
          <w:p w:rsidR="00F81EB3" w:rsidRPr="00F85D5A" w:rsidRDefault="00F81EB3" w:rsidP="00352A92">
            <w:pPr>
              <w:spacing w:after="0" w:line="256" w:lineRule="auto"/>
              <w:ind w:right="655"/>
              <w:jc w:val="right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F85D5A">
              <w:rPr>
                <w:rFonts w:ascii="Times New Roman" w:hAnsi="Times New Roman"/>
                <w:sz w:val="24"/>
                <w:szCs w:val="24"/>
                <w:lang w:val="kk-KZ" w:bidi="en-US"/>
              </w:rPr>
              <w:t xml:space="preserve">                     «___»  мамыр/ мая 2020  ж/г</w:t>
            </w:r>
          </w:p>
          <w:p w:rsidR="00F81EB3" w:rsidRPr="00F85D5A" w:rsidRDefault="00F81EB3" w:rsidP="00352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F81EB3" w:rsidRPr="00F85D5A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Fonts w:ascii="Times New Roman" w:hAnsi="Times New Roman"/>
          <w:b/>
        </w:rPr>
      </w:pPr>
    </w:p>
    <w:p w:rsidR="00F81EB3" w:rsidRPr="00F85D5A" w:rsidRDefault="00F81EB3" w:rsidP="00F81EB3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val="kk-KZ" w:bidi="en-US"/>
        </w:rPr>
      </w:pPr>
      <w:r w:rsidRPr="00F85D5A">
        <w:rPr>
          <w:rFonts w:ascii="Times New Roman" w:eastAsia="Times New Roman" w:hAnsi="Times New Roman"/>
          <w:sz w:val="24"/>
          <w:szCs w:val="24"/>
          <w:lang w:bidi="en-US"/>
        </w:rPr>
        <w:t xml:space="preserve">Специальность: 1201000 </w:t>
      </w:r>
      <w:r w:rsidRPr="00F85D5A">
        <w:rPr>
          <w:rFonts w:ascii="Times New Roman" w:eastAsia="Times New Roman" w:hAnsi="Times New Roman"/>
          <w:sz w:val="24"/>
          <w:szCs w:val="24"/>
          <w:lang w:val="kk-KZ" w:bidi="en-US"/>
        </w:rPr>
        <w:t>- «</w:t>
      </w:r>
      <w:r w:rsidRPr="00F85D5A">
        <w:rPr>
          <w:rFonts w:ascii="Times New Roman" w:eastAsia="Times New Roman" w:hAnsi="Times New Roman"/>
          <w:sz w:val="24"/>
          <w:szCs w:val="24"/>
          <w:lang w:bidi="en-US"/>
        </w:rPr>
        <w:t>Техническое обслуживание, ремонт, эксплуатация автомобильного транспорта»</w:t>
      </w:r>
    </w:p>
    <w:p w:rsidR="00F81EB3" w:rsidRPr="00F85D5A" w:rsidRDefault="00F81EB3" w:rsidP="00F81EB3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bidi="en-US"/>
        </w:rPr>
      </w:pPr>
      <w:r w:rsidRPr="00F85D5A">
        <w:rPr>
          <w:rFonts w:ascii="Times New Roman" w:eastAsia="Times New Roman" w:hAnsi="Times New Roman"/>
          <w:sz w:val="24"/>
          <w:szCs w:val="24"/>
          <w:lang w:val="kk-KZ" w:bidi="en-US"/>
        </w:rPr>
        <w:t>Квалификация: 1201123 – «</w:t>
      </w:r>
      <w:r w:rsidRPr="00F85D5A">
        <w:rPr>
          <w:rFonts w:ascii="Times New Roman" w:eastAsia="Times New Roman" w:hAnsi="Times New Roman"/>
          <w:sz w:val="24"/>
          <w:szCs w:val="24"/>
          <w:lang w:bidi="en-US"/>
        </w:rPr>
        <w:t>Техник – механик»</w:t>
      </w:r>
    </w:p>
    <w:p w:rsidR="00F81EB3" w:rsidRPr="00F85D5A" w:rsidRDefault="00F81EB3" w:rsidP="00F81EB3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bidi="en-US"/>
        </w:rPr>
      </w:pPr>
      <w:r w:rsidRPr="00F85D5A">
        <w:rPr>
          <w:rFonts w:ascii="Times New Roman" w:eastAsia="Times New Roman" w:hAnsi="Times New Roman"/>
          <w:sz w:val="24"/>
          <w:szCs w:val="24"/>
          <w:lang w:bidi="en-US"/>
        </w:rPr>
        <w:t>Курс</w:t>
      </w:r>
      <w:r w:rsidRPr="00F85D5A">
        <w:rPr>
          <w:rFonts w:ascii="Times New Roman" w:eastAsia="Times New Roman" w:hAnsi="Times New Roman"/>
          <w:sz w:val="24"/>
          <w:szCs w:val="24"/>
          <w:lang w:val="kk-KZ" w:bidi="en-US"/>
        </w:rPr>
        <w:t xml:space="preserve">: </w:t>
      </w:r>
      <w:r w:rsidRPr="00F85D5A">
        <w:rPr>
          <w:rFonts w:ascii="Times New Roman" w:eastAsia="Times New Roman" w:hAnsi="Times New Roman"/>
          <w:sz w:val="24"/>
          <w:szCs w:val="24"/>
          <w:lang w:bidi="en-US"/>
        </w:rPr>
        <w:t xml:space="preserve"> 4 </w:t>
      </w:r>
    </w:p>
    <w:p w:rsidR="00F81EB3" w:rsidRDefault="00F81EB3" w:rsidP="00F81EB3">
      <w:pPr>
        <w:tabs>
          <w:tab w:val="left" w:pos="2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B3" w:rsidRDefault="00F81EB3" w:rsidP="00F81EB3">
      <w:pPr>
        <w:tabs>
          <w:tab w:val="left" w:pos="23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14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комплексный экзамен по дисци</w:t>
      </w:r>
      <w:r w:rsidRPr="002F614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лине «Экономика производства</w:t>
      </w:r>
      <w:r w:rsidRPr="002F61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1EB3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66"/>
        <w:gridCol w:w="9005"/>
      </w:tblGrid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Охарактеризуйте предприятия технического обслуживания автомобилей как субъект предпринимательской деятельности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spacing w:after="0"/>
              <w:contextualSpacing/>
              <w:jc w:val="both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краткую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станций технического обслуживания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Объясните особенности </w:t>
            </w:r>
            <w:r w:rsidRPr="00755B7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м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алы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предприятии и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ых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предпринимательств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Опишите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процесс 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организационно правов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ых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форм предприятий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Охарактеризуйте рынок транспортных услуг и его особенности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Опешите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рынка транспортных услуг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Объясните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sz w:val="28"/>
                <w:szCs w:val="28"/>
              </w:rPr>
              <w:t>рен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нюю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предприятия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онкурентоспособность предприятий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Опишите методы </w:t>
            </w:r>
            <w:r w:rsidRPr="00755B7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аркетинговы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на рынке транспортных услуг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Дайте краткую характеристику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рганизационн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ых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структур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Опишите п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ринципы организаций станций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Изложите особенность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роизводственн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ых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инфраструктур станций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Опишите классификацию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атериально-техническ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их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обеспечении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станций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Охарактеризуйте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определение потребностей в материальных ресурсах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Опишите методы </w:t>
            </w:r>
            <w:r w:rsidRPr="00755B7E">
              <w:rPr>
                <w:rFonts w:ascii="Times New Roman" w:hAnsi="Times New Roman"/>
                <w:sz w:val="28"/>
                <w:szCs w:val="28"/>
                <w:lang w:val="kk-KZ" w:eastAsia="en-US"/>
              </w:rPr>
              <w:t>ф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орм материально-технического обеспечения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Охарактеризуйте организацию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складского хозяйства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26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Объясните особенности </w:t>
            </w:r>
            <w:r w:rsidRPr="00755B7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р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есурс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снабжение на станциях технического обслуживания автомобилей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особенность о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сновны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4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Опишите с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остав основных фондов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Изложите и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знос и амортизация основных фондов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Охарактеризуйте сущность и состав оборотных средств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нормирование оборотных средств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Обоснуйте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показатели использования и пути ускорения оборачиваемости оборотных средств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Охарактеризуйте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рудовые ресурсы и производительность труда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43" w:type="pct"/>
          </w:tcPr>
          <w:p w:rsidR="00F81EB3" w:rsidRPr="00755B7E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особенность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изводственны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Сформулируйте факторы, влияющие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производительность труда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Опишите нормирование труда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Изложите общие положения по оплате труда</w:t>
            </w:r>
          </w:p>
        </w:tc>
      </w:tr>
      <w:tr w:rsidR="00F81EB3" w:rsidRPr="00BE1C69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pStyle w:val="Style6"/>
              <w:tabs>
                <w:tab w:val="left" w:pos="235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kk-KZ"/>
              </w:rPr>
            </w:pPr>
            <w:r w:rsidRPr="00755B7E">
              <w:rPr>
                <w:rFonts w:ascii="Times New Roman" w:hAnsi="Times New Roman"/>
                <w:sz w:val="28"/>
                <w:szCs w:val="28"/>
              </w:rPr>
              <w:t>Опишите методы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>плата труда и премирование работников станций технического обслуживания автомобилей</w:t>
            </w:r>
          </w:p>
        </w:tc>
      </w:tr>
      <w:tr w:rsidR="00F81EB3" w:rsidRPr="00852438" w:rsidTr="00352A92">
        <w:tc>
          <w:tcPr>
            <w:tcW w:w="257" w:type="pct"/>
          </w:tcPr>
          <w:p w:rsidR="00F81EB3" w:rsidRPr="00BE1C69" w:rsidRDefault="00F81EB3" w:rsidP="00352A92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BE1C69">
              <w:rPr>
                <w:rStyle w:val="FontStyle14"/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43" w:type="pct"/>
          </w:tcPr>
          <w:p w:rsidR="00F81EB3" w:rsidRPr="00F85D5A" w:rsidRDefault="00F81EB3" w:rsidP="00352A92">
            <w:pPr>
              <w:spacing w:after="0"/>
              <w:contextualSpacing/>
              <w:jc w:val="both"/>
              <w:rPr>
                <w:rStyle w:val="FontStyle14"/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55B7E">
              <w:rPr>
                <w:rFonts w:ascii="Times New Roman" w:hAnsi="Times New Roman"/>
                <w:bCs/>
                <w:sz w:val="28"/>
                <w:szCs w:val="28"/>
              </w:rPr>
              <w:t>Объясните</w:t>
            </w:r>
            <w:r w:rsidRPr="00755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B7E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bookmarkStart w:id="0" w:name="_GoBack"/>
            <w:bookmarkEnd w:id="0"/>
            <w:r w:rsidRPr="00755B7E">
              <w:rPr>
                <w:rFonts w:ascii="Times New Roman" w:hAnsi="Times New Roman"/>
                <w:sz w:val="28"/>
                <w:szCs w:val="28"/>
              </w:rPr>
              <w:t>ебестоимость обслуживания автомобилей</w:t>
            </w:r>
          </w:p>
        </w:tc>
      </w:tr>
    </w:tbl>
    <w:p w:rsidR="00F81EB3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sz w:val="22"/>
          <w:szCs w:val="22"/>
        </w:rPr>
      </w:pPr>
    </w:p>
    <w:p w:rsidR="00F81EB3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sz w:val="22"/>
          <w:szCs w:val="22"/>
          <w:lang w:val="kk-KZ"/>
        </w:rPr>
      </w:pPr>
    </w:p>
    <w:p w:rsidR="00F81EB3" w:rsidRPr="00F71705" w:rsidRDefault="00F81EB3" w:rsidP="00F81EB3">
      <w:pPr>
        <w:pStyle w:val="Style6"/>
        <w:widowControl/>
        <w:tabs>
          <w:tab w:val="left" w:pos="230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2"/>
        </w:rPr>
      </w:pPr>
      <w:r>
        <w:rPr>
          <w:rStyle w:val="FontStyle14"/>
          <w:rFonts w:ascii="Times New Roman" w:hAnsi="Times New Roman"/>
          <w:sz w:val="28"/>
          <w:szCs w:val="22"/>
        </w:rPr>
        <w:t>Разработал</w:t>
      </w:r>
      <w:r>
        <w:rPr>
          <w:rStyle w:val="FontStyle14"/>
          <w:rFonts w:ascii="Times New Roman" w:hAnsi="Times New Roman"/>
          <w:sz w:val="28"/>
          <w:szCs w:val="22"/>
          <w:lang w:val="kk-KZ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2"/>
          <w:lang w:val="kk-KZ"/>
        </w:rPr>
        <w:t xml:space="preserve"> </w:t>
      </w:r>
      <w:r w:rsidRPr="00F71705">
        <w:rPr>
          <w:rStyle w:val="FontStyle14"/>
          <w:rFonts w:ascii="Times New Roman" w:hAnsi="Times New Roman"/>
          <w:sz w:val="28"/>
          <w:szCs w:val="22"/>
        </w:rPr>
        <w:t>:</w:t>
      </w:r>
      <w:proofErr w:type="gramEnd"/>
      <w:r w:rsidRPr="00F71705">
        <w:rPr>
          <w:rStyle w:val="FontStyle14"/>
          <w:rFonts w:ascii="Times New Roman" w:hAnsi="Times New Roman"/>
          <w:sz w:val="28"/>
          <w:szCs w:val="22"/>
        </w:rPr>
        <w:t xml:space="preserve"> </w:t>
      </w:r>
      <w:r>
        <w:rPr>
          <w:rStyle w:val="FontStyle14"/>
          <w:rFonts w:ascii="Times New Roman" w:hAnsi="Times New Roman"/>
          <w:sz w:val="28"/>
          <w:szCs w:val="22"/>
          <w:lang w:val="kk-KZ"/>
        </w:rPr>
        <w:t xml:space="preserve">Еставлетова Аяулы Аскабыловна </w:t>
      </w:r>
      <w:r>
        <w:rPr>
          <w:rStyle w:val="FontStyle14"/>
          <w:rFonts w:ascii="Times New Roman" w:hAnsi="Times New Roman"/>
          <w:sz w:val="28"/>
          <w:szCs w:val="22"/>
        </w:rPr>
        <w:t xml:space="preserve"> преподаватель экономических дисциплин</w:t>
      </w:r>
    </w:p>
    <w:p w:rsidR="00F81EB3" w:rsidRPr="00F85D5A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sz w:val="22"/>
          <w:szCs w:val="22"/>
        </w:rPr>
      </w:pPr>
    </w:p>
    <w:p w:rsidR="00F81EB3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sz w:val="22"/>
          <w:szCs w:val="22"/>
          <w:lang w:val="kk-KZ"/>
        </w:rPr>
      </w:pPr>
    </w:p>
    <w:p w:rsidR="00F81EB3" w:rsidRDefault="00F81EB3" w:rsidP="00F81EB3">
      <w:pPr>
        <w:pStyle w:val="Style6"/>
        <w:widowControl/>
        <w:tabs>
          <w:tab w:val="left" w:pos="230"/>
        </w:tabs>
        <w:spacing w:line="240" w:lineRule="auto"/>
        <w:rPr>
          <w:rStyle w:val="FontStyle14"/>
          <w:sz w:val="22"/>
          <w:szCs w:val="22"/>
          <w:lang w:val="kk-KZ"/>
        </w:rPr>
      </w:pPr>
    </w:p>
    <w:p w:rsidR="00B311FD" w:rsidRPr="00F81EB3" w:rsidRDefault="00B311FD">
      <w:pPr>
        <w:rPr>
          <w:lang w:val="kk-KZ"/>
        </w:rPr>
      </w:pPr>
    </w:p>
    <w:sectPr w:rsidR="00B311FD" w:rsidRPr="00F81EB3" w:rsidSect="005E0D8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EB3"/>
    <w:rsid w:val="005E0D86"/>
    <w:rsid w:val="007A2DAC"/>
    <w:rsid w:val="009424B3"/>
    <w:rsid w:val="00B311FD"/>
    <w:rsid w:val="00F8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B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1EB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F81EB3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Кабинет</dc:creator>
  <cp:keywords/>
  <dc:description/>
  <cp:lastModifiedBy>20 Кабинет</cp:lastModifiedBy>
  <cp:revision>2</cp:revision>
  <dcterms:created xsi:type="dcterms:W3CDTF">2020-05-21T12:26:00Z</dcterms:created>
  <dcterms:modified xsi:type="dcterms:W3CDTF">2020-05-21T12:28:00Z</dcterms:modified>
</cp:coreProperties>
</file>